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56" w:rsidRPr="00261FC2" w:rsidRDefault="00E64356" w:rsidP="00E64356">
      <w:pPr>
        <w:shd w:val="clear" w:color="auto" w:fill="C2D69B" w:themeFill="accent3" w:themeFillTint="99"/>
        <w:ind w:left="-1134" w:right="-992"/>
        <w:rPr>
          <w:rFonts w:ascii="Calibri" w:hAnsi="Calibri"/>
          <w:b/>
        </w:rPr>
      </w:pPr>
      <w:r w:rsidRPr="004260CE">
        <w:rPr>
          <w:b/>
        </w:rPr>
        <w:t>DESCRIÇÃO DO PRODUTO / USO</w:t>
      </w:r>
      <w:r w:rsidRPr="00261FC2">
        <w:rPr>
          <w:rFonts w:ascii="Calibri" w:hAnsi="Calibri"/>
          <w:b/>
        </w:rPr>
        <w:t xml:space="preserve"> </w:t>
      </w:r>
    </w:p>
    <w:p w:rsidR="00194A01" w:rsidRPr="001B1E8C" w:rsidRDefault="00194A01" w:rsidP="00CA1C46">
      <w:pPr>
        <w:widowControl w:val="0"/>
        <w:autoSpaceDE w:val="0"/>
        <w:autoSpaceDN w:val="0"/>
        <w:adjustRightInd w:val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 xml:space="preserve">Toda e qualquer superfície tem que estar bem preparada para garantir um acabamento perfeito e prolongar a durabilidade da pintura. A </w:t>
      </w:r>
      <w:r w:rsidRPr="001B1E8C">
        <w:rPr>
          <w:rFonts w:ascii="Calibri" w:hAnsi="Calibri"/>
          <w:b/>
          <w:sz w:val="20"/>
          <w:szCs w:val="20"/>
        </w:rPr>
        <w:t>MASSA PARA MADEIRA LUKSCOLOR nivela e corrige imperfeições</w:t>
      </w:r>
      <w:r w:rsidRPr="001B1E8C">
        <w:rPr>
          <w:rFonts w:ascii="Calibri" w:hAnsi="Calibri"/>
          <w:sz w:val="20"/>
          <w:szCs w:val="20"/>
        </w:rPr>
        <w:t xml:space="preserve"> rasas em superfícies de madeira, em áreas externas e internas, preparando portas, janelas, lambris, esquadrias, móveis e madeiras decorativas em geral, para receber a tinta de acabamento. Não deve ser aplicada sobre madeira impregnada com produtos a base de silicone e óleos (linhaça). Produto de grande poder de enchimento, secagem rápida, fácil de aplicar, e de lixar.</w:t>
      </w:r>
    </w:p>
    <w:p w:rsidR="00CA1C46" w:rsidRPr="001B1E8C" w:rsidRDefault="00EB101A" w:rsidP="00CA1C46">
      <w:pPr>
        <w:widowControl w:val="0"/>
        <w:autoSpaceDE w:val="0"/>
        <w:autoSpaceDN w:val="0"/>
        <w:adjustRightInd w:val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b/>
          <w:sz w:val="20"/>
          <w:szCs w:val="20"/>
        </w:rPr>
        <w:t xml:space="preserve">Este produto está classificado conforme norma NBR 11702 da ABNT (Associação Brasileira </w:t>
      </w:r>
      <w:r w:rsidR="00E00D23" w:rsidRPr="001B1E8C">
        <w:rPr>
          <w:rFonts w:ascii="Calibri" w:hAnsi="Calibri"/>
          <w:b/>
          <w:sz w:val="20"/>
          <w:szCs w:val="20"/>
        </w:rPr>
        <w:t>de Normas e Técnicas) tipo 4.7.3.</w:t>
      </w:r>
      <w:r w:rsidRPr="001B1E8C">
        <w:rPr>
          <w:rFonts w:ascii="Calibri" w:hAnsi="Calibri"/>
          <w:b/>
          <w:sz w:val="20"/>
          <w:szCs w:val="20"/>
        </w:rPr>
        <w:t xml:space="preserve"> </w:t>
      </w:r>
      <w:r w:rsidR="00CA1C46" w:rsidRPr="001B1E8C">
        <w:rPr>
          <w:rFonts w:ascii="Calibri" w:hAnsi="Calibri"/>
          <w:b/>
          <w:sz w:val="20"/>
          <w:szCs w:val="20"/>
        </w:rPr>
        <w:t xml:space="preserve"> </w:t>
      </w: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</w:rPr>
      </w:pPr>
      <w:r w:rsidRPr="001B1E8C">
        <w:rPr>
          <w:b/>
        </w:rPr>
        <w:t>COMPOSIÇÃO BÁSICA</w:t>
      </w:r>
    </w:p>
    <w:p w:rsidR="00C45EC7" w:rsidRPr="001B1E8C" w:rsidRDefault="00C45EC7" w:rsidP="00C45EC7">
      <w:pPr>
        <w:spacing w:after="0"/>
        <w:ind w:left="-1134"/>
        <w:jc w:val="both"/>
        <w:rPr>
          <w:rFonts w:ascii="Calibri" w:eastAsia="Calibri" w:hAnsi="Calibri" w:cs="Times New Roman"/>
          <w:sz w:val="20"/>
          <w:szCs w:val="20"/>
        </w:rPr>
      </w:pPr>
      <w:r w:rsidRPr="001B1E8C">
        <w:rPr>
          <w:rFonts w:ascii="Calibri" w:eastAsia="Calibri" w:hAnsi="Calibri" w:cs="Times New Roman"/>
          <w:sz w:val="20"/>
          <w:szCs w:val="20"/>
        </w:rPr>
        <w:t>Para maiores informações consultar a FISPQ do Produto.</w:t>
      </w:r>
    </w:p>
    <w:p w:rsidR="00C45EC7" w:rsidRPr="001B1E8C" w:rsidRDefault="00C45EC7" w:rsidP="00584F1F">
      <w:pPr>
        <w:widowControl w:val="0"/>
        <w:autoSpaceDE w:val="0"/>
        <w:autoSpaceDN w:val="0"/>
        <w:adjustRightInd w:val="0"/>
        <w:ind w:left="-1134" w:right="-851"/>
        <w:contextualSpacing/>
        <w:jc w:val="both"/>
        <w:rPr>
          <w:rFonts w:ascii="Calibri" w:hAnsi="Calibri"/>
          <w:sz w:val="20"/>
          <w:szCs w:val="20"/>
        </w:rPr>
      </w:pP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  <w:noProof/>
          <w:szCs w:val="20"/>
        </w:rPr>
      </w:pPr>
      <w:r w:rsidRPr="001B1E8C">
        <w:rPr>
          <w:b/>
          <w:noProof/>
          <w:szCs w:val="20"/>
        </w:rPr>
        <w:t>INDICAÇÃO</w:t>
      </w:r>
    </w:p>
    <w:p w:rsidR="00584F1F" w:rsidRPr="001B1E8C" w:rsidRDefault="00E00D23" w:rsidP="00EB101A">
      <w:pPr>
        <w:ind w:left="-1134"/>
        <w:jc w:val="both"/>
        <w:rPr>
          <w:rFonts w:ascii="Calibri" w:hAnsi="Calibri" w:cs="Arial"/>
          <w:sz w:val="20"/>
          <w:szCs w:val="20"/>
        </w:rPr>
      </w:pPr>
      <w:r w:rsidRPr="001B1E8C">
        <w:rPr>
          <w:rFonts w:ascii="Calibri" w:hAnsi="Calibri" w:cs="Arial"/>
          <w:sz w:val="20"/>
          <w:szCs w:val="20"/>
        </w:rPr>
        <w:t>Madeira maciça, madeira folh</w:t>
      </w:r>
      <w:r w:rsidR="005372A0" w:rsidRPr="001B1E8C">
        <w:rPr>
          <w:rFonts w:ascii="Calibri" w:hAnsi="Calibri" w:cs="Arial"/>
          <w:sz w:val="20"/>
          <w:szCs w:val="20"/>
        </w:rPr>
        <w:t>e</w:t>
      </w:r>
      <w:r w:rsidRPr="001B1E8C">
        <w:rPr>
          <w:rFonts w:ascii="Calibri" w:hAnsi="Calibri" w:cs="Arial"/>
          <w:sz w:val="20"/>
          <w:szCs w:val="20"/>
        </w:rPr>
        <w:t>ada.</w:t>
      </w: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</w:rPr>
      </w:pPr>
      <w:r w:rsidRPr="001B1E8C">
        <w:rPr>
          <w:b/>
        </w:rPr>
        <w:t xml:space="preserve">PREPARAÇÃO DA SUPERFÍCIE (NORMA ABNT NBR-13245) </w:t>
      </w:r>
    </w:p>
    <w:p w:rsidR="00A00350" w:rsidRPr="001B1E8C" w:rsidRDefault="00A00350" w:rsidP="00A00350">
      <w:pPr>
        <w:ind w:left="-1134" w:right="-851"/>
        <w:jc w:val="both"/>
        <w:rPr>
          <w:sz w:val="20"/>
          <w:szCs w:val="20"/>
        </w:rPr>
      </w:pPr>
      <w:r w:rsidRPr="001B1E8C">
        <w:rPr>
          <w:sz w:val="20"/>
          <w:szCs w:val="20"/>
        </w:rPr>
        <w:t>Antes de pintar, prepare adequadamente a superfície. É importante que esteja limpa, seca sem partes soltas de reboco ou de pintura velha. Corrija as imperfeições e elimine a umidade, mofo, pó, manchas de gordura, e outros contaminantes que podem comprometer o resultado da pintura. Veja como proceder em v</w:t>
      </w:r>
      <w:r w:rsidR="003864E5" w:rsidRPr="001B1E8C">
        <w:rPr>
          <w:sz w:val="20"/>
          <w:szCs w:val="20"/>
        </w:rPr>
        <w:t>á</w:t>
      </w:r>
      <w:r w:rsidRPr="001B1E8C">
        <w:rPr>
          <w:sz w:val="20"/>
          <w:szCs w:val="20"/>
        </w:rPr>
        <w:t>rias situações para garantir um acabamento perfeito e a durabilidade do produto.</w:t>
      </w:r>
    </w:p>
    <w:p w:rsidR="00A00350" w:rsidRPr="001B1E8C" w:rsidRDefault="00A00350" w:rsidP="00A00350">
      <w:pPr>
        <w:ind w:left="-1134" w:right="-851"/>
        <w:jc w:val="both"/>
        <w:rPr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 xml:space="preserve">REPINTURA: </w:t>
      </w:r>
      <w:r w:rsidRPr="001B1E8C">
        <w:rPr>
          <w:sz w:val="20"/>
          <w:szCs w:val="20"/>
        </w:rPr>
        <w:t>Observe o estado geral da pintura antiga. Estando em boas condições, lixe, remova o pó e aplique a tinta de acabamento.</w:t>
      </w:r>
    </w:p>
    <w:p w:rsidR="00A00350" w:rsidRPr="001B1E8C" w:rsidRDefault="00A00350" w:rsidP="00A00350">
      <w:pPr>
        <w:ind w:left="-1134" w:right="-851"/>
        <w:jc w:val="both"/>
        <w:rPr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>POEIRA E PÓ DE LIXAMENTO:</w:t>
      </w:r>
      <w:r w:rsidRPr="001B1E8C">
        <w:rPr>
          <w:sz w:val="20"/>
          <w:szCs w:val="20"/>
        </w:rPr>
        <w:t xml:space="preserve"> Remova com escova de p</w:t>
      </w:r>
      <w:r w:rsidR="003864E5" w:rsidRPr="001B1E8C">
        <w:rPr>
          <w:sz w:val="20"/>
          <w:szCs w:val="20"/>
        </w:rPr>
        <w:t>el</w:t>
      </w:r>
      <w:r w:rsidRPr="001B1E8C">
        <w:rPr>
          <w:sz w:val="20"/>
          <w:szCs w:val="20"/>
        </w:rPr>
        <w:t xml:space="preserve">os e limpe com pano limpo umedecido com </w:t>
      </w:r>
      <w:r w:rsidRPr="001B1E8C">
        <w:rPr>
          <w:b/>
          <w:sz w:val="20"/>
          <w:szCs w:val="20"/>
        </w:rPr>
        <w:t>NOVA-RAZ INNOVATION</w:t>
      </w:r>
      <w:r w:rsidRPr="001B1E8C">
        <w:rPr>
          <w:sz w:val="20"/>
          <w:szCs w:val="20"/>
        </w:rPr>
        <w:t xml:space="preserve"> ou </w:t>
      </w:r>
      <w:r w:rsidRPr="001B1E8C">
        <w:rPr>
          <w:b/>
          <w:sz w:val="20"/>
          <w:szCs w:val="20"/>
        </w:rPr>
        <w:t>NOVA-RAZ 260</w:t>
      </w:r>
      <w:r w:rsidRPr="001B1E8C">
        <w:rPr>
          <w:sz w:val="20"/>
          <w:szCs w:val="20"/>
        </w:rPr>
        <w:t>;</w:t>
      </w:r>
    </w:p>
    <w:p w:rsidR="00A00350" w:rsidRPr="001B1E8C" w:rsidRDefault="00A00350" w:rsidP="00A00350">
      <w:pPr>
        <w:ind w:left="-1134" w:right="-851"/>
        <w:jc w:val="both"/>
        <w:rPr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>SUPERFÍCIES BRILHANTES:</w:t>
      </w:r>
      <w:r w:rsidRPr="001B1E8C">
        <w:rPr>
          <w:sz w:val="20"/>
          <w:szCs w:val="20"/>
        </w:rPr>
        <w:t xml:space="preserve"> Lixe até a perda total do brilho e remova o pó de lixamento;</w:t>
      </w:r>
    </w:p>
    <w:p w:rsidR="00163908" w:rsidRPr="001B1E8C" w:rsidRDefault="00A00350" w:rsidP="00163908">
      <w:pPr>
        <w:ind w:left="-1134" w:right="-851"/>
        <w:jc w:val="both"/>
        <w:rPr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>MANCHAS GORDUROSAS E GRAXAS:</w:t>
      </w:r>
      <w:r w:rsidRPr="001B1E8C">
        <w:rPr>
          <w:sz w:val="20"/>
          <w:szCs w:val="20"/>
        </w:rPr>
        <w:t xml:space="preserve"> Lave com água e detergente, enxágue e deixe secar, ou utilize pano limpo umedecido</w:t>
      </w:r>
      <w:r w:rsidR="00163908" w:rsidRPr="001B1E8C">
        <w:rPr>
          <w:sz w:val="20"/>
          <w:szCs w:val="20"/>
        </w:rPr>
        <w:t xml:space="preserve"> com </w:t>
      </w:r>
      <w:r w:rsidR="00163908" w:rsidRPr="001B1E8C">
        <w:rPr>
          <w:b/>
          <w:sz w:val="20"/>
          <w:szCs w:val="20"/>
        </w:rPr>
        <w:t>NOVA-RAZ INNOVATION</w:t>
      </w:r>
      <w:r w:rsidR="00163908" w:rsidRPr="001B1E8C">
        <w:rPr>
          <w:sz w:val="20"/>
          <w:szCs w:val="20"/>
        </w:rPr>
        <w:t xml:space="preserve"> ou </w:t>
      </w:r>
      <w:r w:rsidR="00163908" w:rsidRPr="001B1E8C">
        <w:rPr>
          <w:b/>
          <w:sz w:val="20"/>
          <w:szCs w:val="20"/>
        </w:rPr>
        <w:t>NOVA-RAZ 260</w:t>
      </w:r>
      <w:r w:rsidR="00163908" w:rsidRPr="001B1E8C">
        <w:rPr>
          <w:sz w:val="20"/>
          <w:szCs w:val="20"/>
        </w:rPr>
        <w:t>;</w:t>
      </w:r>
    </w:p>
    <w:p w:rsidR="00163908" w:rsidRPr="001B1E8C" w:rsidRDefault="00163908" w:rsidP="00A00350">
      <w:pPr>
        <w:ind w:left="-1134" w:right="-851"/>
        <w:jc w:val="both"/>
        <w:rPr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>MOFO:</w:t>
      </w:r>
      <w:r w:rsidRPr="001B1E8C">
        <w:rPr>
          <w:sz w:val="20"/>
          <w:szCs w:val="20"/>
        </w:rPr>
        <w:t xml:space="preserve"> Limpe com água sanitária e deixe agir por alguns minutos. Enxague e deixe secar;</w:t>
      </w:r>
    </w:p>
    <w:p w:rsidR="00AD2A9D" w:rsidRPr="001B1E8C" w:rsidRDefault="00163908" w:rsidP="00A00350">
      <w:pPr>
        <w:ind w:left="-1134" w:right="-851"/>
        <w:jc w:val="both"/>
        <w:rPr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>MADEIRA, IMPERFEIÇÕES RASAS:</w:t>
      </w:r>
      <w:r w:rsidRPr="001B1E8C">
        <w:rPr>
          <w:sz w:val="20"/>
          <w:szCs w:val="20"/>
        </w:rPr>
        <w:t xml:space="preserve"> </w:t>
      </w:r>
      <w:r w:rsidR="00AD2A9D" w:rsidRPr="001B1E8C">
        <w:rPr>
          <w:sz w:val="20"/>
          <w:szCs w:val="20"/>
        </w:rPr>
        <w:t xml:space="preserve">Aplique </w:t>
      </w:r>
      <w:r w:rsidR="00AD2A9D" w:rsidRPr="001B1E8C">
        <w:rPr>
          <w:b/>
          <w:sz w:val="20"/>
          <w:szCs w:val="20"/>
        </w:rPr>
        <w:t>MASSA PARA MADEIRA LUKSCOLOR</w:t>
      </w:r>
      <w:r w:rsidR="00AD2A9D" w:rsidRPr="001B1E8C">
        <w:rPr>
          <w:sz w:val="20"/>
          <w:szCs w:val="20"/>
        </w:rPr>
        <w:t>, lixe e re</w:t>
      </w:r>
      <w:r w:rsidR="003509B2" w:rsidRPr="001B1E8C">
        <w:rPr>
          <w:sz w:val="20"/>
          <w:szCs w:val="20"/>
        </w:rPr>
        <w:t>m</w:t>
      </w:r>
      <w:r w:rsidR="00AD2A9D" w:rsidRPr="001B1E8C">
        <w:rPr>
          <w:sz w:val="20"/>
          <w:szCs w:val="20"/>
        </w:rPr>
        <w:t>ova o pó. Não aplique sobre madeira impregnada com produtos a base de silicone o</w:t>
      </w:r>
      <w:r w:rsidR="003864E5" w:rsidRPr="001B1E8C">
        <w:rPr>
          <w:sz w:val="20"/>
          <w:szCs w:val="20"/>
        </w:rPr>
        <w:t>u</w:t>
      </w:r>
      <w:r w:rsidR="00AD2A9D" w:rsidRPr="001B1E8C">
        <w:rPr>
          <w:sz w:val="20"/>
          <w:szCs w:val="20"/>
        </w:rPr>
        <w:t xml:space="preserve"> óleos (linhaça);</w:t>
      </w:r>
    </w:p>
    <w:p w:rsidR="00AD2A9D" w:rsidRPr="001B1E8C" w:rsidRDefault="00AD2A9D" w:rsidP="00AD2A9D">
      <w:pPr>
        <w:ind w:left="-1134" w:right="-851"/>
        <w:jc w:val="both"/>
        <w:rPr>
          <w:b/>
          <w:sz w:val="20"/>
          <w:szCs w:val="20"/>
        </w:rPr>
      </w:pPr>
      <w:r w:rsidRPr="001B1E8C">
        <w:rPr>
          <w:b/>
          <w:sz w:val="20"/>
          <w:szCs w:val="20"/>
          <w:u w:val="single"/>
        </w:rPr>
        <w:t>MADEIRA NOVA:</w:t>
      </w:r>
      <w:r w:rsidRPr="001B1E8C">
        <w:rPr>
          <w:sz w:val="20"/>
          <w:szCs w:val="20"/>
        </w:rPr>
        <w:t xml:space="preserve"> Lixe até eliminar as farpas e remova o pó. Corrija as imperfeições com </w:t>
      </w:r>
      <w:r w:rsidRPr="001B1E8C">
        <w:rPr>
          <w:b/>
          <w:sz w:val="20"/>
          <w:szCs w:val="20"/>
        </w:rPr>
        <w:t xml:space="preserve">MASSA PARA MADEIRA LUKSCOLOR, </w:t>
      </w:r>
      <w:r w:rsidRPr="001B1E8C">
        <w:rPr>
          <w:sz w:val="20"/>
          <w:szCs w:val="20"/>
        </w:rPr>
        <w:t xml:space="preserve">lixe e remova o pó. Aplique uma demão de </w:t>
      </w:r>
      <w:r w:rsidRPr="001B1E8C">
        <w:rPr>
          <w:b/>
          <w:sz w:val="20"/>
          <w:szCs w:val="20"/>
        </w:rPr>
        <w:t>FUNDO UNIVERSAL BASE ÁGUA LUKSCOLOR.</w:t>
      </w:r>
      <w:r w:rsidRPr="001B1E8C">
        <w:rPr>
          <w:sz w:val="20"/>
          <w:szCs w:val="20"/>
        </w:rPr>
        <w:t xml:space="preserve"> Lixe e remova o pó e aplique o </w:t>
      </w:r>
      <w:r w:rsidRPr="001B1E8C">
        <w:rPr>
          <w:b/>
          <w:sz w:val="20"/>
          <w:szCs w:val="20"/>
        </w:rPr>
        <w:t>ESMALTE PREMIUM PLUS LUKSCOLOR</w:t>
      </w:r>
      <w:r w:rsidRPr="001B1E8C">
        <w:rPr>
          <w:sz w:val="20"/>
          <w:szCs w:val="20"/>
        </w:rPr>
        <w:t xml:space="preserve"> ou </w:t>
      </w:r>
      <w:r w:rsidRPr="001B1E8C">
        <w:rPr>
          <w:b/>
          <w:sz w:val="20"/>
          <w:szCs w:val="20"/>
        </w:rPr>
        <w:t xml:space="preserve">ESMALTE </w:t>
      </w:r>
      <w:r w:rsidR="008909CD" w:rsidRPr="001B1E8C">
        <w:rPr>
          <w:b/>
          <w:sz w:val="20"/>
          <w:szCs w:val="20"/>
        </w:rPr>
        <w:t xml:space="preserve">BASE ÁGUA </w:t>
      </w:r>
      <w:r w:rsidRPr="001B1E8C">
        <w:rPr>
          <w:b/>
          <w:sz w:val="20"/>
          <w:szCs w:val="20"/>
        </w:rPr>
        <w:t>PREMIUM PLUS LUKSCOLOR.</w:t>
      </w:r>
    </w:p>
    <w:p w:rsidR="00AD2A9D" w:rsidRPr="001B1E8C" w:rsidRDefault="00AD2A9D" w:rsidP="00AD2A9D">
      <w:pPr>
        <w:ind w:left="-1134" w:right="-851"/>
        <w:jc w:val="both"/>
        <w:rPr>
          <w:rFonts w:ascii="Calibri" w:hAnsi="Calibri"/>
          <w:b/>
          <w:sz w:val="20"/>
          <w:szCs w:val="20"/>
        </w:rPr>
      </w:pPr>
      <w:r w:rsidRPr="001B1E8C">
        <w:rPr>
          <w:rFonts w:ascii="Calibri" w:hAnsi="Calibri"/>
          <w:b/>
          <w:sz w:val="20"/>
          <w:szCs w:val="20"/>
        </w:rPr>
        <w:t>Em todos os casos, leia atentamente todas as recomendações das embalagens dos produtos utilizados, principalmente o tempo de secagem entre demãos.</w:t>
      </w: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</w:rPr>
      </w:pPr>
      <w:r w:rsidRPr="001B1E8C">
        <w:rPr>
          <w:b/>
        </w:rPr>
        <w:t>APLICAÇÃO E DILUIÇÃO</w:t>
      </w:r>
    </w:p>
    <w:p w:rsidR="00EB101A" w:rsidRPr="001B1E8C" w:rsidRDefault="00EB101A" w:rsidP="00EB101A">
      <w:pPr>
        <w:ind w:left="-1134" w:right="-851"/>
        <w:rPr>
          <w:rFonts w:ascii="Calibri" w:hAnsi="Calibri"/>
          <w:b/>
          <w:sz w:val="20"/>
          <w:szCs w:val="20"/>
          <w:u w:val="single"/>
        </w:rPr>
      </w:pPr>
      <w:r w:rsidRPr="001B1E8C">
        <w:rPr>
          <w:rFonts w:ascii="Calibri" w:hAnsi="Calibri"/>
          <w:b/>
          <w:bCs/>
          <w:sz w:val="20"/>
          <w:szCs w:val="20"/>
        </w:rPr>
        <w:t>Espátula e desempenadeira de aço</w:t>
      </w:r>
    </w:p>
    <w:p w:rsidR="00EB101A" w:rsidRPr="001B1E8C" w:rsidRDefault="00EB101A" w:rsidP="00EB101A">
      <w:pPr>
        <w:widowControl w:val="0"/>
        <w:autoSpaceDE w:val="0"/>
        <w:autoSpaceDN w:val="0"/>
        <w:adjustRightInd w:val="0"/>
        <w:ind w:left="-1134" w:right="-851"/>
        <w:jc w:val="both"/>
        <w:rPr>
          <w:rFonts w:ascii="Calibri" w:hAnsi="Calibri"/>
          <w:b/>
          <w:sz w:val="20"/>
          <w:szCs w:val="20"/>
          <w:u w:val="single"/>
        </w:rPr>
      </w:pPr>
      <w:r w:rsidRPr="001B1E8C">
        <w:rPr>
          <w:rFonts w:ascii="Calibri" w:hAnsi="Calibri"/>
          <w:b/>
          <w:sz w:val="20"/>
          <w:szCs w:val="20"/>
          <w:u w:val="single"/>
        </w:rPr>
        <w:lastRenderedPageBreak/>
        <w:t>DILUIÇÃO</w:t>
      </w:r>
    </w:p>
    <w:p w:rsidR="00EB101A" w:rsidRPr="001B1E8C" w:rsidRDefault="00EB101A" w:rsidP="00EB101A">
      <w:pPr>
        <w:widowControl w:val="0"/>
        <w:autoSpaceDE w:val="0"/>
        <w:autoSpaceDN w:val="0"/>
        <w:adjustRightInd w:val="0"/>
        <w:ind w:left="-1134" w:right="-851"/>
        <w:rPr>
          <w:rFonts w:ascii="Calibri" w:hAnsi="Calibri"/>
          <w:b/>
          <w:sz w:val="20"/>
          <w:szCs w:val="20"/>
        </w:rPr>
      </w:pPr>
      <w:r w:rsidRPr="001B1E8C">
        <w:rPr>
          <w:rFonts w:ascii="Calibri" w:hAnsi="Calibri"/>
          <w:b/>
          <w:sz w:val="20"/>
          <w:szCs w:val="20"/>
        </w:rPr>
        <w:t>Produto pronto para uso. Não requer diluição.</w:t>
      </w:r>
    </w:p>
    <w:p w:rsidR="00EB101A" w:rsidRPr="001B1E8C" w:rsidRDefault="00EB101A" w:rsidP="00EB101A">
      <w:pPr>
        <w:widowControl w:val="0"/>
        <w:autoSpaceDE w:val="0"/>
        <w:autoSpaceDN w:val="0"/>
        <w:adjustRightInd w:val="0"/>
        <w:ind w:left="-1134" w:right="-851"/>
        <w:jc w:val="both"/>
        <w:rPr>
          <w:rFonts w:ascii="Calibri" w:hAnsi="Calibri"/>
          <w:b/>
          <w:sz w:val="20"/>
          <w:szCs w:val="20"/>
        </w:rPr>
      </w:pPr>
      <w:r w:rsidRPr="001B1E8C">
        <w:rPr>
          <w:rFonts w:ascii="Calibri" w:hAnsi="Calibri"/>
          <w:b/>
          <w:sz w:val="20"/>
          <w:szCs w:val="20"/>
        </w:rPr>
        <w:t>Misturar bem o conteúdo desta embalagem até sua completa homogeneização.</w:t>
      </w:r>
    </w:p>
    <w:p w:rsidR="00E64356" w:rsidRPr="001B1E8C" w:rsidRDefault="00E64356" w:rsidP="00E64356">
      <w:pPr>
        <w:shd w:val="clear" w:color="auto" w:fill="C2D69B" w:themeFill="accent3" w:themeFillTint="99"/>
        <w:spacing w:after="0"/>
        <w:ind w:left="-1134" w:right="-992"/>
        <w:jc w:val="both"/>
        <w:rPr>
          <w:b/>
        </w:rPr>
      </w:pPr>
      <w:r w:rsidRPr="001B1E8C">
        <w:rPr>
          <w:b/>
          <w:noProof/>
        </w:rPr>
        <w:t>DEMÃO E SECAGEM</w:t>
      </w:r>
    </w:p>
    <w:p w:rsidR="005372A0" w:rsidRPr="001B1E8C" w:rsidRDefault="005372A0" w:rsidP="00EB101A">
      <w:pPr>
        <w:widowControl w:val="0"/>
        <w:autoSpaceDE w:val="0"/>
        <w:autoSpaceDN w:val="0"/>
        <w:adjustRightInd w:val="0"/>
        <w:ind w:left="-1134" w:right="-851"/>
        <w:contextualSpacing/>
        <w:jc w:val="both"/>
        <w:rPr>
          <w:rFonts w:cs="Arial"/>
          <w:sz w:val="20"/>
        </w:rPr>
      </w:pPr>
    </w:p>
    <w:p w:rsidR="00EB101A" w:rsidRPr="001B1E8C" w:rsidRDefault="00C12229" w:rsidP="00EB101A">
      <w:pPr>
        <w:widowControl w:val="0"/>
        <w:autoSpaceDE w:val="0"/>
        <w:autoSpaceDN w:val="0"/>
        <w:adjustRightInd w:val="0"/>
        <w:ind w:left="-1134" w:right="-851"/>
        <w:contextualSpacing/>
        <w:jc w:val="both"/>
        <w:rPr>
          <w:rFonts w:ascii="Calibri" w:hAnsi="Calibri"/>
          <w:sz w:val="20"/>
          <w:szCs w:val="20"/>
        </w:rPr>
      </w:pPr>
      <w:r w:rsidRPr="001B1E8C">
        <w:rPr>
          <w:rFonts w:cs="Arial"/>
          <w:sz w:val="20"/>
        </w:rPr>
        <w:t xml:space="preserve">De </w:t>
      </w:r>
      <w:r w:rsidR="003509B2" w:rsidRPr="001B1E8C">
        <w:rPr>
          <w:rFonts w:cs="Arial"/>
          <w:sz w:val="20"/>
        </w:rPr>
        <w:t>1</w:t>
      </w:r>
      <w:r w:rsidRPr="001B1E8C">
        <w:rPr>
          <w:rFonts w:cs="Arial"/>
          <w:sz w:val="20"/>
        </w:rPr>
        <w:t xml:space="preserve"> </w:t>
      </w:r>
      <w:r w:rsidR="003509B2" w:rsidRPr="001B1E8C">
        <w:rPr>
          <w:rFonts w:cs="Arial"/>
          <w:sz w:val="20"/>
        </w:rPr>
        <w:t>a 2</w:t>
      </w:r>
      <w:r w:rsidRPr="001B1E8C">
        <w:rPr>
          <w:rFonts w:cs="Arial"/>
          <w:sz w:val="20"/>
        </w:rPr>
        <w:t xml:space="preserve"> demãos </w:t>
      </w:r>
      <w:r w:rsidR="003864E5" w:rsidRPr="001B1E8C">
        <w:rPr>
          <w:rFonts w:ascii="Calibri" w:hAnsi="Calibri"/>
          <w:sz w:val="20"/>
          <w:szCs w:val="20"/>
        </w:rPr>
        <w:t>e</w:t>
      </w:r>
      <w:r w:rsidR="00EB101A" w:rsidRPr="001B1E8C">
        <w:rPr>
          <w:rFonts w:ascii="Calibri" w:hAnsi="Calibri"/>
          <w:sz w:val="20"/>
          <w:szCs w:val="20"/>
        </w:rPr>
        <w:t>m camadas finas e sucessivas, até o nivelamento desejado.</w:t>
      </w:r>
    </w:p>
    <w:p w:rsidR="00C12229" w:rsidRPr="001B1E8C" w:rsidRDefault="00C12229" w:rsidP="00C12229">
      <w:pPr>
        <w:ind w:left="-1134" w:right="-851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 xml:space="preserve">Entre demãos aguardar </w:t>
      </w:r>
      <w:r w:rsidR="00B36560" w:rsidRPr="001B1E8C">
        <w:rPr>
          <w:rFonts w:cs="Arial"/>
          <w:sz w:val="20"/>
        </w:rPr>
        <w:t>2 horas</w:t>
      </w:r>
      <w:r w:rsidRPr="001B1E8C">
        <w:rPr>
          <w:rFonts w:cs="Arial"/>
          <w:sz w:val="20"/>
        </w:rPr>
        <w:t xml:space="preserve">. </w:t>
      </w:r>
      <w:r w:rsidR="00EB101A" w:rsidRPr="001B1E8C">
        <w:rPr>
          <w:rFonts w:cs="Arial"/>
          <w:sz w:val="20"/>
        </w:rPr>
        <w:t>Lixamento 3 horas no mínimo</w:t>
      </w:r>
      <w:r w:rsidRPr="001B1E8C">
        <w:rPr>
          <w:rFonts w:cs="Arial"/>
          <w:sz w:val="20"/>
        </w:rPr>
        <w:t xml:space="preserve">, </w:t>
      </w:r>
      <w:r w:rsidRPr="001B1E8C">
        <w:rPr>
          <w:rFonts w:ascii="Calibri" w:hAnsi="Calibri"/>
          <w:sz w:val="20"/>
          <w:szCs w:val="20"/>
        </w:rPr>
        <w:t>depois da última demão</w:t>
      </w:r>
      <w:r w:rsidRPr="001B1E8C">
        <w:rPr>
          <w:rFonts w:cs="Arial"/>
          <w:sz w:val="20"/>
        </w:rPr>
        <w:t>.</w:t>
      </w:r>
      <w:r w:rsidRPr="001B1E8C">
        <w:rPr>
          <w:rFonts w:ascii="Calibri" w:hAnsi="Calibri"/>
          <w:sz w:val="20"/>
          <w:szCs w:val="20"/>
        </w:rPr>
        <w:t xml:space="preserve"> Dependendo das condições climáticas, esses prazos poderão ser alterados.</w:t>
      </w:r>
    </w:p>
    <w:p w:rsidR="00C12229" w:rsidRPr="001B1E8C" w:rsidRDefault="00C12229" w:rsidP="00244D4E">
      <w:pPr>
        <w:ind w:left="-1134"/>
        <w:jc w:val="both"/>
        <w:rPr>
          <w:b/>
          <w:noProof/>
        </w:rPr>
      </w:pPr>
      <w:r w:rsidRPr="001B1E8C">
        <w:rPr>
          <w:rFonts w:cs="Arial"/>
          <w:sz w:val="20"/>
        </w:rPr>
        <w:t>Logo após a aplicação, lave os utensílios de pintura com água e detergente.</w:t>
      </w: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</w:rPr>
      </w:pPr>
      <w:r w:rsidRPr="001B1E8C">
        <w:rPr>
          <w:b/>
          <w:noProof/>
        </w:rPr>
        <w:t>RENDIMENTO</w:t>
      </w:r>
    </w:p>
    <w:p w:rsidR="00A304B7" w:rsidRPr="001B1E8C" w:rsidRDefault="00B36560" w:rsidP="00A304B7">
      <w:pPr>
        <w:ind w:left="-1134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>Embalagem de 6,5</w:t>
      </w:r>
      <w:r w:rsidR="00917460" w:rsidRPr="001B1E8C">
        <w:rPr>
          <w:rFonts w:cs="Arial"/>
          <w:sz w:val="20"/>
        </w:rPr>
        <w:t xml:space="preserve"> Kg</w:t>
      </w:r>
      <w:r w:rsidR="00EB101A" w:rsidRPr="001B1E8C">
        <w:rPr>
          <w:rFonts w:cs="Arial"/>
          <w:sz w:val="20"/>
        </w:rPr>
        <w:t xml:space="preserve"> – Até 12</w:t>
      </w:r>
      <w:r w:rsidR="00A304B7" w:rsidRPr="001B1E8C">
        <w:rPr>
          <w:rFonts w:cs="Arial"/>
          <w:sz w:val="20"/>
        </w:rPr>
        <w:t xml:space="preserve"> m²/por demão.</w:t>
      </w:r>
    </w:p>
    <w:p w:rsidR="005372A0" w:rsidRPr="001B1E8C" w:rsidRDefault="005372A0" w:rsidP="005372A0">
      <w:pPr>
        <w:ind w:left="-1134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>Embalagem de 1,62 Kg – Até 3 m²/por demão.</w:t>
      </w:r>
    </w:p>
    <w:p w:rsidR="00A304B7" w:rsidRPr="001B1E8C" w:rsidRDefault="00A304B7" w:rsidP="00A304B7">
      <w:pPr>
        <w:ind w:left="-1134" w:right="-851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>O rendimento prático pode variar em função do método de aplicação, geometria da estrutura, rugosidade, absorção da superfíci</w:t>
      </w:r>
      <w:r w:rsidR="00EB101A" w:rsidRPr="001B1E8C">
        <w:rPr>
          <w:rFonts w:cs="Arial"/>
          <w:sz w:val="20"/>
        </w:rPr>
        <w:t>e e espessura da camada de massa</w:t>
      </w:r>
      <w:r w:rsidRPr="001B1E8C">
        <w:rPr>
          <w:rFonts w:cs="Arial"/>
          <w:sz w:val="20"/>
        </w:rPr>
        <w:t xml:space="preserve"> depositada.</w:t>
      </w: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</w:rPr>
      </w:pPr>
      <w:r w:rsidRPr="001B1E8C">
        <w:rPr>
          <w:b/>
          <w:noProof/>
        </w:rPr>
        <w:t>PROPRIEDADES FÍSICO - QUÍMICAS</w:t>
      </w:r>
    </w:p>
    <w:p w:rsidR="00EB101A" w:rsidRPr="001B1E8C" w:rsidRDefault="00464DBA" w:rsidP="00C2309C">
      <w:pPr>
        <w:spacing w:after="0" w:line="360" w:lineRule="auto"/>
        <w:ind w:left="-1134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 xml:space="preserve">Cor: </w:t>
      </w:r>
      <w:r w:rsidR="00B36560" w:rsidRPr="001B1E8C">
        <w:rPr>
          <w:rFonts w:cs="Arial"/>
          <w:sz w:val="20"/>
        </w:rPr>
        <w:t>Branca.</w:t>
      </w:r>
    </w:p>
    <w:p w:rsidR="00464DBA" w:rsidRPr="001B1E8C" w:rsidRDefault="005372A0" w:rsidP="00C2309C">
      <w:pPr>
        <w:spacing w:after="0" w:line="360" w:lineRule="auto"/>
        <w:ind w:left="-1134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>Massa</w:t>
      </w:r>
      <w:r w:rsidR="00464DBA" w:rsidRPr="001B1E8C">
        <w:rPr>
          <w:rFonts w:cs="Arial"/>
          <w:sz w:val="20"/>
        </w:rPr>
        <w:t xml:space="preserve"> </w:t>
      </w:r>
      <w:r w:rsidRPr="001B1E8C">
        <w:rPr>
          <w:rFonts w:cs="Arial"/>
          <w:sz w:val="20"/>
        </w:rPr>
        <w:t>E</w:t>
      </w:r>
      <w:r w:rsidR="00464DBA" w:rsidRPr="001B1E8C">
        <w:rPr>
          <w:rFonts w:cs="Arial"/>
          <w:sz w:val="20"/>
        </w:rPr>
        <w:t>specífic</w:t>
      </w:r>
      <w:r w:rsidRPr="001B1E8C">
        <w:rPr>
          <w:rFonts w:cs="Arial"/>
          <w:sz w:val="20"/>
        </w:rPr>
        <w:t>a</w:t>
      </w:r>
      <w:r w:rsidR="00464DBA" w:rsidRPr="001B1E8C">
        <w:rPr>
          <w:rFonts w:cs="Arial"/>
          <w:sz w:val="20"/>
        </w:rPr>
        <w:t>:</w:t>
      </w:r>
      <w:r w:rsidR="00644AA0" w:rsidRPr="001B1E8C">
        <w:rPr>
          <w:rFonts w:cs="Arial"/>
          <w:sz w:val="20"/>
        </w:rPr>
        <w:t xml:space="preserve"> </w:t>
      </w:r>
      <w:r w:rsidR="00B10F66" w:rsidRPr="001B1E8C">
        <w:rPr>
          <w:rFonts w:cs="Arial"/>
          <w:sz w:val="20"/>
        </w:rPr>
        <w:t>1,800</w:t>
      </w:r>
      <w:r w:rsidR="003712C8" w:rsidRPr="001B1E8C">
        <w:rPr>
          <w:rFonts w:cs="Arial"/>
          <w:sz w:val="20"/>
        </w:rPr>
        <w:t xml:space="preserve"> </w:t>
      </w:r>
      <w:r w:rsidR="00B10F66" w:rsidRPr="001B1E8C">
        <w:rPr>
          <w:rFonts w:cs="Arial"/>
          <w:sz w:val="20"/>
        </w:rPr>
        <w:t>– 1,850</w:t>
      </w:r>
      <w:r w:rsidR="00C355DF" w:rsidRPr="001B1E8C">
        <w:rPr>
          <w:rFonts w:cs="Arial"/>
          <w:sz w:val="20"/>
        </w:rPr>
        <w:t xml:space="preserve"> Kg/L.</w:t>
      </w:r>
    </w:p>
    <w:p w:rsidR="00464DBA" w:rsidRPr="001B1E8C" w:rsidRDefault="00464DBA" w:rsidP="00C2309C">
      <w:pPr>
        <w:spacing w:after="0" w:line="360" w:lineRule="auto"/>
        <w:ind w:left="-1134"/>
        <w:jc w:val="both"/>
        <w:rPr>
          <w:rFonts w:cs="Arial"/>
          <w:sz w:val="20"/>
        </w:rPr>
      </w:pPr>
      <w:r w:rsidRPr="001B1E8C">
        <w:rPr>
          <w:rFonts w:cs="Arial"/>
          <w:sz w:val="20"/>
        </w:rPr>
        <w:t>VOC (compostos orgânicos voláteis):</w:t>
      </w:r>
      <w:r w:rsidR="00B10F66" w:rsidRPr="001B1E8C">
        <w:rPr>
          <w:rFonts w:cs="Arial"/>
          <w:sz w:val="20"/>
        </w:rPr>
        <w:t xml:space="preserve"> 21</w:t>
      </w:r>
      <w:r w:rsidR="00C355DF" w:rsidRPr="001B1E8C">
        <w:rPr>
          <w:rFonts w:cs="Arial"/>
          <w:sz w:val="20"/>
        </w:rPr>
        <w:t xml:space="preserve"> g/L.</w:t>
      </w:r>
      <w:r w:rsidRPr="001B1E8C">
        <w:rPr>
          <w:rFonts w:cs="Arial"/>
          <w:sz w:val="20"/>
        </w:rPr>
        <w:t xml:space="preserve"> </w:t>
      </w:r>
      <w:r w:rsidR="006B7C5C" w:rsidRPr="001B1E8C">
        <w:rPr>
          <w:rFonts w:cs="Arial"/>
          <w:sz w:val="20"/>
        </w:rPr>
        <w:t>·.</w:t>
      </w:r>
    </w:p>
    <w:p w:rsidR="00C45EC7" w:rsidRPr="001B1E8C" w:rsidRDefault="00C45EC7" w:rsidP="00C2309C">
      <w:pPr>
        <w:spacing w:after="0" w:line="360" w:lineRule="auto"/>
        <w:ind w:left="-113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B1E8C">
        <w:rPr>
          <w:rFonts w:ascii="Calibri" w:eastAsia="Calibri" w:hAnsi="Calibri" w:cs="Times New Roman"/>
          <w:b/>
          <w:sz w:val="20"/>
          <w:szCs w:val="20"/>
        </w:rPr>
        <w:t>Para maiores informações consultar a FISPQ do Produto.</w:t>
      </w:r>
    </w:p>
    <w:p w:rsidR="00C45EC7" w:rsidRPr="001B1E8C" w:rsidRDefault="00C45EC7" w:rsidP="00C2309C">
      <w:pPr>
        <w:spacing w:after="0"/>
        <w:ind w:left="-113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5372A0" w:rsidRPr="00D2044D" w:rsidRDefault="00D2044D" w:rsidP="00D2044D">
      <w:pPr>
        <w:shd w:val="clear" w:color="auto" w:fill="C2D69B" w:themeFill="accent3" w:themeFillTint="99"/>
        <w:spacing w:after="0"/>
        <w:ind w:left="-1134" w:right="-992"/>
        <w:jc w:val="both"/>
        <w:rPr>
          <w:b/>
        </w:rPr>
      </w:pPr>
      <w:r>
        <w:rPr>
          <w:b/>
          <w:noProof/>
        </w:rPr>
        <w:t>EMBALAGEM</w:t>
      </w:r>
      <w:r>
        <w:rPr>
          <w:rFonts w:cs="Arial"/>
          <w:sz w:val="20"/>
        </w:rPr>
        <w:t xml:space="preserve"> </w:t>
      </w:r>
    </w:p>
    <w:p w:rsidR="00A304B7" w:rsidRPr="001B1E8C" w:rsidRDefault="00D2044D" w:rsidP="00A304B7">
      <w:pPr>
        <w:ind w:left="-1134"/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1,62 Kg e </w:t>
      </w:r>
      <w:r w:rsidR="00B36560" w:rsidRPr="001B1E8C">
        <w:rPr>
          <w:rFonts w:cs="Arial"/>
          <w:sz w:val="20"/>
        </w:rPr>
        <w:t xml:space="preserve">6,5 </w:t>
      </w:r>
      <w:r w:rsidR="005372A0" w:rsidRPr="001B1E8C">
        <w:rPr>
          <w:rFonts w:cs="Arial"/>
          <w:sz w:val="20"/>
        </w:rPr>
        <w:t>Kg</w:t>
      </w:r>
    </w:p>
    <w:p w:rsidR="00E64356" w:rsidRPr="001B1E8C" w:rsidRDefault="00E64356" w:rsidP="00E64356">
      <w:pPr>
        <w:shd w:val="clear" w:color="auto" w:fill="C2D69B" w:themeFill="accent3" w:themeFillTint="99"/>
        <w:ind w:left="-1134" w:right="-992"/>
        <w:jc w:val="both"/>
        <w:rPr>
          <w:b/>
        </w:rPr>
      </w:pPr>
      <w:r w:rsidRPr="001B1E8C">
        <w:rPr>
          <w:b/>
          <w:noProof/>
        </w:rPr>
        <w:t>ESTOCAGEM E VALIDADE</w:t>
      </w:r>
    </w:p>
    <w:p w:rsidR="000C3551" w:rsidRPr="001B1E8C" w:rsidRDefault="00244D4E" w:rsidP="00A06B29">
      <w:pPr>
        <w:ind w:left="-1134" w:right="-851"/>
        <w:jc w:val="both"/>
        <w:rPr>
          <w:b/>
          <w:noProof/>
        </w:rPr>
      </w:pPr>
      <w:r w:rsidRPr="001B1E8C">
        <w:rPr>
          <w:rFonts w:cs="Arial"/>
          <w:sz w:val="20"/>
        </w:rPr>
        <w:t xml:space="preserve">Armazenar em local abrigado, seco e arejado. Temperatura recomendada: 10 </w:t>
      </w:r>
      <w:r w:rsidR="00944F14" w:rsidRPr="001B1E8C">
        <w:rPr>
          <w:rFonts w:cs="Arial"/>
          <w:sz w:val="20"/>
        </w:rPr>
        <w:t>a</w:t>
      </w:r>
      <w:r w:rsidRPr="001B1E8C">
        <w:rPr>
          <w:rFonts w:cs="Arial"/>
          <w:sz w:val="20"/>
        </w:rPr>
        <w:t xml:space="preserve"> 40°C.  Prazo de validade: 2 anos a partir da data de fabricação.</w:t>
      </w:r>
    </w:p>
    <w:p w:rsidR="00E64356" w:rsidRPr="001B1E8C" w:rsidRDefault="00E64356" w:rsidP="00E64356">
      <w:pPr>
        <w:shd w:val="clear" w:color="auto" w:fill="C2D69B" w:themeFill="accent3" w:themeFillTint="99"/>
        <w:spacing w:after="0"/>
        <w:ind w:left="-1134" w:right="-992"/>
        <w:jc w:val="both"/>
        <w:rPr>
          <w:b/>
          <w:noProof/>
        </w:rPr>
      </w:pPr>
      <w:r w:rsidRPr="001B1E8C">
        <w:rPr>
          <w:b/>
          <w:noProof/>
        </w:rPr>
        <w:t>PRECAUÇÕES E RECOMENDAÇÕES</w:t>
      </w:r>
    </w:p>
    <w:p w:rsidR="006F59D0" w:rsidRPr="001B1E8C" w:rsidRDefault="006F59D0" w:rsidP="0069570E">
      <w:pPr>
        <w:spacing w:after="0"/>
        <w:ind w:left="-1134" w:right="-851"/>
        <w:jc w:val="both"/>
        <w:rPr>
          <w:rFonts w:cs="Arial"/>
          <w:sz w:val="20"/>
        </w:rPr>
      </w:pP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outlineLvl w:val="0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>Produto não inflamável. Armazene em local abrigado, seco, arejado, com temperatura entre 10</w:t>
      </w:r>
      <w:r w:rsidRPr="001B1E8C">
        <w:rPr>
          <w:rFonts w:ascii="Calibri" w:hAnsi="Calibri"/>
          <w:sz w:val="20"/>
          <w:szCs w:val="20"/>
          <w:vertAlign w:val="superscript"/>
        </w:rPr>
        <w:t>0</w:t>
      </w:r>
      <w:r w:rsidRPr="001B1E8C">
        <w:rPr>
          <w:rFonts w:ascii="Calibri" w:hAnsi="Calibri"/>
          <w:sz w:val="20"/>
          <w:szCs w:val="20"/>
        </w:rPr>
        <w:t>C e 40</w:t>
      </w:r>
      <w:r w:rsidRPr="001B1E8C">
        <w:rPr>
          <w:rFonts w:ascii="Calibri" w:hAnsi="Calibri"/>
          <w:sz w:val="20"/>
          <w:szCs w:val="20"/>
          <w:vertAlign w:val="superscript"/>
        </w:rPr>
        <w:t>0</w:t>
      </w:r>
      <w:r w:rsidRPr="001B1E8C">
        <w:rPr>
          <w:rFonts w:ascii="Calibri" w:hAnsi="Calibri"/>
          <w:sz w:val="20"/>
          <w:szCs w:val="20"/>
        </w:rPr>
        <w:t>C;</w:t>
      </w: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>Mantenha a embalagem fechada, fora do alcance de crianças e animais;</w:t>
      </w:r>
      <w:r w:rsidR="0017017A" w:rsidRPr="001B1E8C">
        <w:rPr>
          <w:rFonts w:ascii="Calibri" w:hAnsi="Calibri"/>
          <w:sz w:val="20"/>
          <w:szCs w:val="20"/>
        </w:rPr>
        <w:t xml:space="preserve"> </w:t>
      </w: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 xml:space="preserve">Não reutilize a embalagem para armazenar alimentos e água para consumo; </w:t>
      </w:r>
    </w:p>
    <w:p w:rsidR="000C3551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 xml:space="preserve">Durante a preparação, aplicação e secagem, mantenha o ambiente bem ventilado para evitar a inalação de vapores; </w:t>
      </w:r>
    </w:p>
    <w:p w:rsidR="001B1E8C" w:rsidRPr="001B1E8C" w:rsidRDefault="001B1E8C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 xml:space="preserve">Evite a pintura de áreas externas em períodos chuvosos, sobre superfícies quentes ou quando ocorrerem ventos fortes; </w:t>
      </w: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>Não aplique o produto em ambientes com temperatura inferior a 10</w:t>
      </w:r>
      <w:r w:rsidRPr="001B1E8C">
        <w:rPr>
          <w:rFonts w:ascii="Calibri" w:hAnsi="Calibri"/>
          <w:sz w:val="20"/>
          <w:szCs w:val="20"/>
          <w:vertAlign w:val="superscript"/>
        </w:rPr>
        <w:t>0</w:t>
      </w:r>
      <w:r w:rsidRPr="001B1E8C">
        <w:rPr>
          <w:rFonts w:ascii="Calibri" w:hAnsi="Calibri"/>
          <w:sz w:val="20"/>
          <w:szCs w:val="20"/>
        </w:rPr>
        <w:t>C ou superior a 35</w:t>
      </w:r>
      <w:r w:rsidRPr="001B1E8C">
        <w:rPr>
          <w:rFonts w:ascii="Calibri" w:hAnsi="Calibri"/>
          <w:sz w:val="20"/>
          <w:szCs w:val="20"/>
          <w:vertAlign w:val="superscript"/>
        </w:rPr>
        <w:t>0</w:t>
      </w:r>
      <w:r w:rsidRPr="001B1E8C">
        <w:rPr>
          <w:rFonts w:ascii="Calibri" w:hAnsi="Calibri"/>
          <w:sz w:val="20"/>
          <w:szCs w:val="20"/>
        </w:rPr>
        <w:t xml:space="preserve">C ou ainda, se a umidade relativa do ar for maior que 90%; </w:t>
      </w:r>
    </w:p>
    <w:p w:rsidR="00C2309C" w:rsidRPr="001B1E8C" w:rsidRDefault="00C2309C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</w:p>
    <w:p w:rsidR="00C2309C" w:rsidRPr="001B1E8C" w:rsidRDefault="00C2309C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</w:p>
    <w:p w:rsidR="000C3551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lastRenderedPageBreak/>
        <w:t xml:space="preserve">Para qualquer dúvida ligue para o Serviço de Atendimento ao Consumidor, tendo sempre em mãos o número do lote, Nota Fiscal do produto e/ou embalagem; </w:t>
      </w:r>
    </w:p>
    <w:p w:rsidR="001B1E8C" w:rsidRPr="001B1E8C" w:rsidRDefault="001B1E8C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985A95">
        <w:rPr>
          <w:sz w:val="20"/>
          <w:szCs w:val="20"/>
        </w:rPr>
        <w:t>Emergências médicas (24 horas): ligue para “CEATOX – Centro de Assistência Toxicológica do Hospital das Clínicas“ através dos telefones: (11) 2661-8571, (11) 2661-8800 ou 0800-0-148110</w:t>
      </w: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 xml:space="preserve">Este produto foi testado e aprovado </w:t>
      </w:r>
      <w:r w:rsidR="003864E5" w:rsidRPr="001B1E8C">
        <w:rPr>
          <w:rFonts w:ascii="Calibri" w:hAnsi="Calibri"/>
          <w:sz w:val="20"/>
          <w:szCs w:val="20"/>
        </w:rPr>
        <w:t>sob rígido</w:t>
      </w:r>
      <w:r w:rsidRPr="001B1E8C">
        <w:rPr>
          <w:rFonts w:ascii="Calibri" w:hAnsi="Calibri"/>
          <w:sz w:val="20"/>
          <w:szCs w:val="20"/>
        </w:rPr>
        <w:t xml:space="preserve"> controle de qualidade. Suas características serão preservadas, desde que corretamente armazenado e utilizado de acordo com as instruções contidas na embalagem. </w:t>
      </w:r>
    </w:p>
    <w:p w:rsidR="000C3551" w:rsidRPr="001B1E8C" w:rsidRDefault="000C3551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  <w:r w:rsidRPr="001B1E8C">
        <w:rPr>
          <w:rFonts w:ascii="Calibri" w:hAnsi="Calibri"/>
          <w:sz w:val="20"/>
          <w:szCs w:val="20"/>
        </w:rPr>
        <w:t>O desempenho deste produto depende de um conjunto de fatores alheios ao controle do fabricante, tais como: preparação correta e devida da superfície a ser pintada, condições climáticas, escolha adequada do esquema de pintura e técnica de aplicação.</w:t>
      </w:r>
    </w:p>
    <w:p w:rsidR="00C45EC7" w:rsidRPr="001B1E8C" w:rsidRDefault="00C45EC7" w:rsidP="00C45EC7">
      <w:pPr>
        <w:spacing w:after="0"/>
        <w:ind w:left="-1134" w:right="-851"/>
        <w:jc w:val="both"/>
        <w:rPr>
          <w:rFonts w:cs="Arial"/>
          <w:b/>
          <w:sz w:val="20"/>
        </w:rPr>
      </w:pPr>
      <w:r w:rsidRPr="001B1E8C">
        <w:rPr>
          <w:sz w:val="20"/>
          <w:szCs w:val="20"/>
        </w:rPr>
        <w:t>Para maiores informações sobre Segurança, Saúde e Meio Ambiente consultar a FISPQ do Produto disponível no site</w:t>
      </w:r>
      <w:r w:rsidR="006B7C5C" w:rsidRPr="001B1E8C">
        <w:rPr>
          <w:sz w:val="20"/>
          <w:szCs w:val="20"/>
        </w:rPr>
        <w:t>:</w:t>
      </w:r>
      <w:r w:rsidRPr="001B1E8C">
        <w:rPr>
          <w:b/>
          <w:sz w:val="20"/>
          <w:szCs w:val="20"/>
        </w:rPr>
        <w:t xml:space="preserve"> </w:t>
      </w:r>
      <w:hyperlink r:id="rId8" w:history="1">
        <w:r w:rsidRPr="001B1E8C">
          <w:rPr>
            <w:rStyle w:val="Hyperlink"/>
            <w:b/>
            <w:color w:val="auto"/>
            <w:sz w:val="20"/>
            <w:szCs w:val="20"/>
          </w:rPr>
          <w:t>www.lukscolor.com.br</w:t>
        </w:r>
      </w:hyperlink>
      <w:r w:rsidR="006B7C5C" w:rsidRPr="001B1E8C">
        <w:rPr>
          <w:b/>
          <w:sz w:val="20"/>
          <w:szCs w:val="20"/>
        </w:rPr>
        <w:t>.</w:t>
      </w:r>
    </w:p>
    <w:p w:rsidR="00C45EC7" w:rsidRPr="001B1E8C" w:rsidRDefault="00C45EC7" w:rsidP="000C3551">
      <w:pPr>
        <w:widowControl w:val="0"/>
        <w:autoSpaceDE w:val="0"/>
        <w:autoSpaceDN w:val="0"/>
        <w:adjustRightInd w:val="0"/>
        <w:spacing w:after="0"/>
        <w:ind w:left="-1134" w:right="-851"/>
        <w:jc w:val="both"/>
        <w:rPr>
          <w:rFonts w:ascii="Calibri" w:hAnsi="Calibri"/>
          <w:sz w:val="20"/>
          <w:szCs w:val="20"/>
        </w:rPr>
      </w:pPr>
    </w:p>
    <w:p w:rsidR="00B47714" w:rsidRPr="001B1E8C" w:rsidRDefault="00B47714" w:rsidP="00D33800">
      <w:pPr>
        <w:spacing w:after="0"/>
        <w:jc w:val="center"/>
        <w:rPr>
          <w:rFonts w:cs="Arial"/>
          <w:b/>
          <w:sz w:val="20"/>
        </w:rPr>
      </w:pPr>
    </w:p>
    <w:p w:rsidR="00B47714" w:rsidRPr="001B1E8C" w:rsidRDefault="00B47714" w:rsidP="00D33800">
      <w:pPr>
        <w:spacing w:after="0"/>
        <w:jc w:val="center"/>
        <w:rPr>
          <w:rFonts w:cs="Arial"/>
          <w:b/>
          <w:sz w:val="20"/>
        </w:rPr>
      </w:pPr>
    </w:p>
    <w:p w:rsidR="00B47714" w:rsidRPr="001B1E8C" w:rsidRDefault="00B47714" w:rsidP="00D33800">
      <w:pPr>
        <w:spacing w:after="0"/>
        <w:jc w:val="center"/>
        <w:rPr>
          <w:rFonts w:cs="Arial"/>
          <w:b/>
          <w:sz w:val="20"/>
        </w:rPr>
      </w:pPr>
    </w:p>
    <w:p w:rsidR="00B47714" w:rsidRPr="001B1E8C" w:rsidRDefault="00B47714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6B7C5C" w:rsidRPr="001B1E8C" w:rsidRDefault="006B7C5C" w:rsidP="00D33800">
      <w:pPr>
        <w:spacing w:after="0"/>
        <w:jc w:val="center"/>
        <w:rPr>
          <w:rFonts w:cs="Arial"/>
          <w:b/>
          <w:sz w:val="20"/>
        </w:rPr>
      </w:pPr>
    </w:p>
    <w:p w:rsidR="006B7C5C" w:rsidRPr="001B1E8C" w:rsidRDefault="006B7C5C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C45EC7" w:rsidRPr="001B1E8C" w:rsidRDefault="00C45EC7" w:rsidP="00D33800">
      <w:pPr>
        <w:spacing w:after="0"/>
        <w:jc w:val="center"/>
        <w:rPr>
          <w:rFonts w:cs="Arial"/>
          <w:b/>
          <w:sz w:val="20"/>
        </w:rPr>
      </w:pPr>
    </w:p>
    <w:p w:rsidR="00B36560" w:rsidRPr="001B1E8C" w:rsidRDefault="00B36560" w:rsidP="00D33800">
      <w:pPr>
        <w:spacing w:after="0"/>
        <w:jc w:val="center"/>
        <w:rPr>
          <w:rFonts w:cs="Arial"/>
          <w:b/>
          <w:sz w:val="20"/>
        </w:rPr>
      </w:pPr>
    </w:p>
    <w:p w:rsidR="00F845AF" w:rsidRPr="001B1E8C" w:rsidRDefault="00C2309C" w:rsidP="00C2309C">
      <w:pPr>
        <w:ind w:left="-1134" w:right="-851"/>
        <w:jc w:val="center"/>
        <w:rPr>
          <w:b/>
        </w:rPr>
      </w:pPr>
      <w:r w:rsidRPr="001B1E8C">
        <w:rPr>
          <w:b/>
          <w:szCs w:val="20"/>
        </w:rPr>
        <w:t>Químico Responsável – Anderson Denardi – CRQ 04230753 – IV Região</w:t>
      </w:r>
    </w:p>
    <w:sectPr w:rsidR="00F845AF" w:rsidRPr="001B1E8C" w:rsidSect="00381260">
      <w:headerReference w:type="default" r:id="rId9"/>
      <w:footerReference w:type="default" r:id="rId10"/>
      <w:pgSz w:w="11906" w:h="16838"/>
      <w:pgMar w:top="1417" w:right="155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8E" w:rsidRDefault="00F22F8E" w:rsidP="00864F3D">
      <w:pPr>
        <w:spacing w:after="0" w:line="240" w:lineRule="auto"/>
      </w:pPr>
      <w:r>
        <w:separator/>
      </w:r>
    </w:p>
  </w:endnote>
  <w:endnote w:type="continuationSeparator" w:id="0">
    <w:p w:rsidR="00F22F8E" w:rsidRDefault="00F22F8E" w:rsidP="008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06756"/>
      <w:docPartObj>
        <w:docPartGallery w:val="Page Numbers (Bottom of Page)"/>
        <w:docPartUnique/>
      </w:docPartObj>
    </w:sdtPr>
    <w:sdtEndPr/>
    <w:sdtContent>
      <w:p w:rsidR="005372A0" w:rsidRDefault="005372A0" w:rsidP="00E64356">
        <w:pPr>
          <w:pStyle w:val="Cabealho"/>
          <w:shd w:val="clear" w:color="auto" w:fill="D6E3BC" w:themeFill="accent3" w:themeFillTint="66"/>
          <w:tabs>
            <w:tab w:val="left" w:pos="5954"/>
          </w:tabs>
          <w:ind w:right="-851" w:hanging="1134"/>
          <w:jc w:val="center"/>
          <w:rPr>
            <w:b/>
            <w:sz w:val="20"/>
            <w:szCs w:val="18"/>
          </w:rPr>
        </w:pPr>
      </w:p>
      <w:p w:rsidR="005372A0" w:rsidRPr="00C2309C" w:rsidRDefault="005372A0" w:rsidP="00E64356">
        <w:pPr>
          <w:pStyle w:val="Cabealho"/>
          <w:shd w:val="clear" w:color="auto" w:fill="D6E3BC" w:themeFill="accent3" w:themeFillTint="66"/>
          <w:tabs>
            <w:tab w:val="left" w:pos="5954"/>
          </w:tabs>
          <w:ind w:right="-851" w:hanging="1134"/>
          <w:jc w:val="center"/>
          <w:rPr>
            <w:b/>
            <w:sz w:val="20"/>
            <w:szCs w:val="18"/>
          </w:rPr>
        </w:pPr>
        <w:r w:rsidRPr="00E61849">
          <w:rPr>
            <w:b/>
            <w:sz w:val="20"/>
            <w:szCs w:val="18"/>
          </w:rPr>
          <w:t>DOVAC</w:t>
        </w:r>
        <w:r w:rsidR="006B7C5C" w:rsidRPr="00E61849">
          <w:rPr>
            <w:b/>
            <w:sz w:val="20"/>
            <w:szCs w:val="18"/>
          </w:rPr>
          <w:t xml:space="preserve"> </w:t>
        </w:r>
        <w:r w:rsidRPr="00E61849">
          <w:rPr>
            <w:b/>
            <w:sz w:val="20"/>
            <w:szCs w:val="18"/>
          </w:rPr>
          <w:t>Indústria e Comércio Ltda.</w:t>
        </w:r>
        <w:r w:rsidR="006B7C5C" w:rsidRPr="00E61849">
          <w:rPr>
            <w:b/>
            <w:sz w:val="20"/>
            <w:szCs w:val="18"/>
          </w:rPr>
          <w:t xml:space="preserve"> </w:t>
        </w:r>
        <w:r w:rsidRPr="00C2309C">
          <w:rPr>
            <w:b/>
            <w:sz w:val="20"/>
            <w:szCs w:val="18"/>
          </w:rPr>
          <w:t>www.lukscolor.com.br</w:t>
        </w:r>
        <w:r w:rsidR="006B7C5C" w:rsidRPr="00C2309C">
          <w:rPr>
            <w:rFonts w:cs="Arial"/>
            <w:b/>
            <w:color w:val="000000"/>
            <w:sz w:val="20"/>
            <w:szCs w:val="18"/>
          </w:rPr>
          <w:t xml:space="preserve"> </w:t>
        </w:r>
        <w:r w:rsidRPr="00C2309C">
          <w:rPr>
            <w:rFonts w:cs="Arial"/>
            <w:b/>
            <w:color w:val="000000"/>
            <w:sz w:val="20"/>
            <w:szCs w:val="18"/>
          </w:rPr>
          <w:t>SAC</w:t>
        </w:r>
        <w:r w:rsidR="006B7C5C" w:rsidRPr="00C2309C">
          <w:rPr>
            <w:rFonts w:cs="Arial"/>
            <w:b/>
            <w:color w:val="000000"/>
            <w:sz w:val="20"/>
            <w:szCs w:val="18"/>
          </w:rPr>
          <w:t xml:space="preserve"> </w:t>
        </w:r>
        <w:r w:rsidRPr="001B1E8C">
          <w:rPr>
            <w:rFonts w:cs="Arial"/>
            <w:b/>
            <w:sz w:val="20"/>
            <w:szCs w:val="18"/>
          </w:rPr>
          <w:t>080</w:t>
        </w:r>
        <w:r w:rsidR="00037D33" w:rsidRPr="001B1E8C">
          <w:rPr>
            <w:rFonts w:cs="Arial"/>
            <w:b/>
            <w:sz w:val="20"/>
            <w:szCs w:val="18"/>
          </w:rPr>
          <w:t>0</w:t>
        </w:r>
        <w:r w:rsidRPr="001B1E8C">
          <w:rPr>
            <w:rFonts w:cs="Arial"/>
            <w:b/>
            <w:sz w:val="20"/>
            <w:szCs w:val="18"/>
          </w:rPr>
          <w:t>0</w:t>
        </w:r>
        <w:r w:rsidRPr="00C2309C">
          <w:rPr>
            <w:rFonts w:cs="Arial"/>
            <w:b/>
            <w:color w:val="000000"/>
            <w:sz w:val="20"/>
            <w:szCs w:val="18"/>
          </w:rPr>
          <w:t>-144234</w:t>
        </w:r>
      </w:p>
      <w:p w:rsidR="005372A0" w:rsidRDefault="005372A0" w:rsidP="00E64356">
        <w:pPr>
          <w:pStyle w:val="Cabealho"/>
          <w:shd w:val="clear" w:color="auto" w:fill="D6E3BC" w:themeFill="accent3" w:themeFillTint="66"/>
          <w:tabs>
            <w:tab w:val="left" w:pos="5954"/>
          </w:tabs>
          <w:ind w:right="-851" w:hanging="1134"/>
          <w:jc w:val="center"/>
          <w:rPr>
            <w:sz w:val="18"/>
            <w:szCs w:val="16"/>
          </w:rPr>
        </w:pPr>
        <w:r w:rsidRPr="00CB5C25">
          <w:rPr>
            <w:sz w:val="20"/>
            <w:szCs w:val="18"/>
          </w:rPr>
          <w:t>Estrada dos Casa,</w:t>
        </w:r>
        <w:r w:rsidR="006B7C5C" w:rsidRPr="00CB5C25">
          <w:rPr>
            <w:sz w:val="20"/>
            <w:szCs w:val="18"/>
          </w:rPr>
          <w:t xml:space="preserve"> </w:t>
        </w:r>
        <w:r w:rsidRPr="00CB5C25">
          <w:rPr>
            <w:sz w:val="20"/>
            <w:szCs w:val="18"/>
          </w:rPr>
          <w:t>2.401 – São Bernardo do Campo – SP – CEP 09840-000</w:t>
        </w:r>
        <w:r w:rsidR="006B7C5C" w:rsidRPr="00CB5C25">
          <w:rPr>
            <w:sz w:val="20"/>
            <w:szCs w:val="18"/>
          </w:rPr>
          <w:t xml:space="preserve"> </w:t>
        </w:r>
        <w:r w:rsidRPr="00CB5C25">
          <w:rPr>
            <w:sz w:val="20"/>
            <w:szCs w:val="18"/>
          </w:rPr>
          <w:t>TEL.: 11- 4344-</w:t>
        </w:r>
        <w:r w:rsidR="006B7C5C" w:rsidRPr="00CB5C25">
          <w:rPr>
            <w:sz w:val="20"/>
            <w:szCs w:val="18"/>
          </w:rPr>
          <w:t>3800.</w:t>
        </w:r>
        <w:r w:rsidRPr="00CB5C25">
          <w:rPr>
            <w:sz w:val="18"/>
            <w:szCs w:val="16"/>
          </w:rPr>
          <w:t xml:space="preserve"> </w:t>
        </w:r>
      </w:p>
      <w:p w:rsidR="005372A0" w:rsidRDefault="002E21D2" w:rsidP="00E64356">
        <w:pPr>
          <w:pStyle w:val="Cabealho"/>
          <w:shd w:val="clear" w:color="auto" w:fill="D6E3BC" w:themeFill="accent3" w:themeFillTint="66"/>
          <w:tabs>
            <w:tab w:val="left" w:pos="5954"/>
          </w:tabs>
          <w:ind w:right="-851" w:hanging="113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44D">
          <w:rPr>
            <w:noProof/>
          </w:rPr>
          <w:t>3</w:t>
        </w:r>
        <w:r>
          <w:rPr>
            <w:noProof/>
          </w:rPr>
          <w:fldChar w:fldCharType="end"/>
        </w:r>
        <w:r w:rsidR="005372A0">
          <w:t>/</w:t>
        </w:r>
        <w: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8E" w:rsidRDefault="00F22F8E" w:rsidP="00864F3D">
      <w:pPr>
        <w:spacing w:after="0" w:line="240" w:lineRule="auto"/>
      </w:pPr>
      <w:r>
        <w:separator/>
      </w:r>
    </w:p>
  </w:footnote>
  <w:footnote w:type="continuationSeparator" w:id="0">
    <w:p w:rsidR="00F22F8E" w:rsidRDefault="00F22F8E" w:rsidP="0086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A0" w:rsidRDefault="005372A0">
    <w:pPr>
      <w:pStyle w:val="Cabealho"/>
    </w:pPr>
  </w:p>
  <w:p w:rsidR="005372A0" w:rsidRPr="007C6E49" w:rsidRDefault="005372A0" w:rsidP="003C04AA">
    <w:pPr>
      <w:pStyle w:val="Cabealho"/>
      <w:tabs>
        <w:tab w:val="left" w:pos="5954"/>
      </w:tabs>
      <w:jc w:val="right"/>
      <w:rPr>
        <w:b/>
        <w:sz w:val="16"/>
        <w:szCs w:val="16"/>
      </w:rPr>
    </w:pPr>
  </w:p>
  <w:tbl>
    <w:tblPr>
      <w:tblStyle w:val="Tabelacomgrade"/>
      <w:tblW w:w="10773" w:type="dxa"/>
      <w:tblInd w:w="-1026" w:type="dxa"/>
      <w:tblLook w:val="04A0" w:firstRow="1" w:lastRow="0" w:firstColumn="1" w:lastColumn="0" w:noHBand="0" w:noVBand="1"/>
    </w:tblPr>
    <w:tblGrid>
      <w:gridCol w:w="2694"/>
      <w:gridCol w:w="5953"/>
      <w:gridCol w:w="2126"/>
    </w:tblGrid>
    <w:tr w:rsidR="005372A0" w:rsidTr="00E64356">
      <w:tc>
        <w:tcPr>
          <w:tcW w:w="2694" w:type="dxa"/>
          <w:vMerge w:val="restart"/>
        </w:tcPr>
        <w:p w:rsidR="005372A0" w:rsidRPr="00E61849" w:rsidRDefault="005372A0" w:rsidP="00E64356">
          <w:pPr>
            <w:pStyle w:val="Cabealho"/>
            <w:jc w:val="center"/>
            <w:rPr>
              <w:b/>
              <w:sz w:val="36"/>
              <w:szCs w:val="48"/>
            </w:rPr>
          </w:pPr>
          <w:r w:rsidRPr="00E61849">
            <w:rPr>
              <w:b/>
              <w:noProof/>
              <w:sz w:val="36"/>
              <w:szCs w:val="4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</wp:posOffset>
                </wp:positionH>
                <wp:positionV relativeFrom="paragraph">
                  <wp:posOffset>39973</wp:posOffset>
                </wp:positionV>
                <wp:extent cx="1561777" cy="534691"/>
                <wp:effectExtent l="19050" t="0" r="323" b="0"/>
                <wp:wrapNone/>
                <wp:docPr id="3" name="Imagem 3" descr="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777" cy="534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</w:tcPr>
        <w:p w:rsidR="005372A0" w:rsidRPr="00E61849" w:rsidRDefault="005372A0" w:rsidP="00E64356">
          <w:pPr>
            <w:pStyle w:val="Cabealho"/>
            <w:jc w:val="center"/>
            <w:rPr>
              <w:b/>
              <w:sz w:val="36"/>
              <w:szCs w:val="48"/>
            </w:rPr>
          </w:pPr>
          <w:r>
            <w:rPr>
              <w:b/>
              <w:sz w:val="36"/>
              <w:szCs w:val="48"/>
            </w:rPr>
            <w:t>Boletim Técnico</w:t>
          </w:r>
        </w:p>
      </w:tc>
      <w:tc>
        <w:tcPr>
          <w:tcW w:w="2126" w:type="dxa"/>
        </w:tcPr>
        <w:p w:rsidR="005372A0" w:rsidRPr="00E61849" w:rsidRDefault="005372A0" w:rsidP="00E64356">
          <w:pPr>
            <w:pStyle w:val="Cabealho"/>
            <w:rPr>
              <w:b/>
              <w:szCs w:val="48"/>
            </w:rPr>
          </w:pPr>
          <w:r>
            <w:rPr>
              <w:b/>
            </w:rPr>
            <w:t xml:space="preserve">Nº: </w:t>
          </w:r>
          <w:r w:rsidRPr="003B2ADF">
            <w:t>BT-DV-0</w:t>
          </w:r>
          <w:r>
            <w:t>16</w:t>
          </w:r>
        </w:p>
      </w:tc>
    </w:tr>
    <w:tr w:rsidR="005372A0" w:rsidTr="00E64356">
      <w:tc>
        <w:tcPr>
          <w:tcW w:w="2694" w:type="dxa"/>
          <w:vMerge/>
        </w:tcPr>
        <w:p w:rsidR="005372A0" w:rsidRPr="00E61849" w:rsidRDefault="005372A0" w:rsidP="00E64356">
          <w:pPr>
            <w:pStyle w:val="Cabealho"/>
            <w:jc w:val="center"/>
            <w:rPr>
              <w:b/>
              <w:sz w:val="36"/>
              <w:szCs w:val="48"/>
            </w:rPr>
          </w:pPr>
        </w:p>
      </w:tc>
      <w:tc>
        <w:tcPr>
          <w:tcW w:w="5953" w:type="dxa"/>
        </w:tcPr>
        <w:p w:rsidR="005372A0" w:rsidRPr="00E61849" w:rsidRDefault="005372A0" w:rsidP="00E64356">
          <w:pPr>
            <w:pStyle w:val="Cabealho"/>
            <w:jc w:val="center"/>
            <w:rPr>
              <w:b/>
              <w:sz w:val="10"/>
            </w:rPr>
          </w:pPr>
        </w:p>
        <w:p w:rsidR="005372A0" w:rsidRPr="00E61849" w:rsidRDefault="005372A0" w:rsidP="00E6435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36"/>
              <w:szCs w:val="48"/>
            </w:rPr>
          </w:pPr>
          <w:r w:rsidRPr="00261FC2">
            <w:rPr>
              <w:rFonts w:ascii="Calibri" w:hAnsi="Calibri"/>
              <w:b/>
            </w:rPr>
            <w:t xml:space="preserve">MASSA </w:t>
          </w:r>
          <w:r>
            <w:rPr>
              <w:rFonts w:ascii="Calibri" w:hAnsi="Calibri"/>
              <w:b/>
            </w:rPr>
            <w:t>PARA MADEIRA</w:t>
          </w:r>
        </w:p>
      </w:tc>
      <w:tc>
        <w:tcPr>
          <w:tcW w:w="2126" w:type="dxa"/>
        </w:tcPr>
        <w:p w:rsidR="005372A0" w:rsidRPr="001B1E8C" w:rsidRDefault="005372A0" w:rsidP="00E64356">
          <w:pPr>
            <w:pStyle w:val="Cabealho"/>
            <w:rPr>
              <w:b/>
            </w:rPr>
          </w:pPr>
          <w:r w:rsidRPr="001B1E8C">
            <w:rPr>
              <w:b/>
            </w:rPr>
            <w:t>Revisão:</w:t>
          </w:r>
          <w:r w:rsidRPr="001B1E8C">
            <w:t xml:space="preserve"> </w:t>
          </w:r>
          <w:r w:rsidR="001B1E8C" w:rsidRPr="001B1E8C">
            <w:t>04</w:t>
          </w:r>
        </w:p>
        <w:p w:rsidR="005372A0" w:rsidRPr="00E61849" w:rsidRDefault="005372A0" w:rsidP="001B1E8C">
          <w:pPr>
            <w:pStyle w:val="Cabealho"/>
            <w:rPr>
              <w:b/>
              <w:szCs w:val="48"/>
            </w:rPr>
          </w:pPr>
          <w:r w:rsidRPr="001B1E8C">
            <w:rPr>
              <w:b/>
            </w:rPr>
            <w:t>Data:</w:t>
          </w:r>
          <w:r w:rsidRPr="001B1E8C">
            <w:t xml:space="preserve"> </w:t>
          </w:r>
          <w:r w:rsidR="001B1E8C" w:rsidRPr="001B1E8C">
            <w:t>07</w:t>
          </w:r>
          <w:r w:rsidR="00037D33" w:rsidRPr="001B1E8C">
            <w:t>/10/21</w:t>
          </w:r>
        </w:p>
      </w:tc>
    </w:tr>
  </w:tbl>
  <w:p w:rsidR="005372A0" w:rsidRPr="00E64356" w:rsidRDefault="005372A0" w:rsidP="00E64356">
    <w:pPr>
      <w:pStyle w:val="Cabealho"/>
      <w:ind w:left="-1134"/>
      <w:jc w:val="center"/>
      <w:rPr>
        <w:b/>
        <w:sz w:val="16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9C1"/>
    <w:multiLevelType w:val="hybridMultilevel"/>
    <w:tmpl w:val="A720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515E"/>
    <w:multiLevelType w:val="hybridMultilevel"/>
    <w:tmpl w:val="F8929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3D"/>
    <w:rsid w:val="00036FCD"/>
    <w:rsid w:val="00037D33"/>
    <w:rsid w:val="000502EC"/>
    <w:rsid w:val="000672AC"/>
    <w:rsid w:val="000949FC"/>
    <w:rsid w:val="000B3EA5"/>
    <w:rsid w:val="000C3551"/>
    <w:rsid w:val="000F3CB4"/>
    <w:rsid w:val="00141E57"/>
    <w:rsid w:val="001435AF"/>
    <w:rsid w:val="00163908"/>
    <w:rsid w:val="0017017A"/>
    <w:rsid w:val="001806BB"/>
    <w:rsid w:val="001835C9"/>
    <w:rsid w:val="00194A01"/>
    <w:rsid w:val="001B1DAA"/>
    <w:rsid w:val="001B1E8C"/>
    <w:rsid w:val="001E5E44"/>
    <w:rsid w:val="00244D4E"/>
    <w:rsid w:val="00272ED2"/>
    <w:rsid w:val="002929C5"/>
    <w:rsid w:val="002C4DBD"/>
    <w:rsid w:val="002D34D0"/>
    <w:rsid w:val="002E21D2"/>
    <w:rsid w:val="00306A3F"/>
    <w:rsid w:val="003509B2"/>
    <w:rsid w:val="00362E01"/>
    <w:rsid w:val="003712A6"/>
    <w:rsid w:val="003712C8"/>
    <w:rsid w:val="00381260"/>
    <w:rsid w:val="003864E5"/>
    <w:rsid w:val="00392AC8"/>
    <w:rsid w:val="003A6858"/>
    <w:rsid w:val="003B0710"/>
    <w:rsid w:val="003B2674"/>
    <w:rsid w:val="003C04AA"/>
    <w:rsid w:val="003E6FF6"/>
    <w:rsid w:val="0040500C"/>
    <w:rsid w:val="00417F17"/>
    <w:rsid w:val="004255C7"/>
    <w:rsid w:val="004260CE"/>
    <w:rsid w:val="00430EBE"/>
    <w:rsid w:val="00462D04"/>
    <w:rsid w:val="00464DBA"/>
    <w:rsid w:val="004934BB"/>
    <w:rsid w:val="004B604D"/>
    <w:rsid w:val="004D0A72"/>
    <w:rsid w:val="00504A1E"/>
    <w:rsid w:val="00510B37"/>
    <w:rsid w:val="00521FC4"/>
    <w:rsid w:val="005372A0"/>
    <w:rsid w:val="00544C7B"/>
    <w:rsid w:val="00584F1F"/>
    <w:rsid w:val="00587F38"/>
    <w:rsid w:val="00595461"/>
    <w:rsid w:val="005D219F"/>
    <w:rsid w:val="005F017F"/>
    <w:rsid w:val="0062605D"/>
    <w:rsid w:val="00635AA1"/>
    <w:rsid w:val="00641FAF"/>
    <w:rsid w:val="006433D8"/>
    <w:rsid w:val="00644AA0"/>
    <w:rsid w:val="00671C86"/>
    <w:rsid w:val="0069570E"/>
    <w:rsid w:val="006A418A"/>
    <w:rsid w:val="006B7C5C"/>
    <w:rsid w:val="006E1BB0"/>
    <w:rsid w:val="006F59D0"/>
    <w:rsid w:val="00723A10"/>
    <w:rsid w:val="007C6E49"/>
    <w:rsid w:val="007D6EDB"/>
    <w:rsid w:val="007E7D60"/>
    <w:rsid w:val="00812498"/>
    <w:rsid w:val="00845EAE"/>
    <w:rsid w:val="0085659D"/>
    <w:rsid w:val="00864F3D"/>
    <w:rsid w:val="008909CD"/>
    <w:rsid w:val="0091217F"/>
    <w:rsid w:val="00917460"/>
    <w:rsid w:val="00935C58"/>
    <w:rsid w:val="00944F14"/>
    <w:rsid w:val="0096073A"/>
    <w:rsid w:val="00973E7C"/>
    <w:rsid w:val="009B4AD2"/>
    <w:rsid w:val="009B6243"/>
    <w:rsid w:val="009B7AD5"/>
    <w:rsid w:val="00A00350"/>
    <w:rsid w:val="00A06B29"/>
    <w:rsid w:val="00A11836"/>
    <w:rsid w:val="00A12225"/>
    <w:rsid w:val="00A20E77"/>
    <w:rsid w:val="00A304B7"/>
    <w:rsid w:val="00A3505F"/>
    <w:rsid w:val="00A575A5"/>
    <w:rsid w:val="00AD2A9D"/>
    <w:rsid w:val="00B10F66"/>
    <w:rsid w:val="00B25652"/>
    <w:rsid w:val="00B36560"/>
    <w:rsid w:val="00B47714"/>
    <w:rsid w:val="00B600EC"/>
    <w:rsid w:val="00B83507"/>
    <w:rsid w:val="00B91BE1"/>
    <w:rsid w:val="00BD613C"/>
    <w:rsid w:val="00BF78A4"/>
    <w:rsid w:val="00C00FAE"/>
    <w:rsid w:val="00C12229"/>
    <w:rsid w:val="00C2309C"/>
    <w:rsid w:val="00C355DF"/>
    <w:rsid w:val="00C40887"/>
    <w:rsid w:val="00C45EC7"/>
    <w:rsid w:val="00C61FBA"/>
    <w:rsid w:val="00C77653"/>
    <w:rsid w:val="00C90C8C"/>
    <w:rsid w:val="00CA1C46"/>
    <w:rsid w:val="00D069CC"/>
    <w:rsid w:val="00D2044D"/>
    <w:rsid w:val="00D33800"/>
    <w:rsid w:val="00D54AD0"/>
    <w:rsid w:val="00D60605"/>
    <w:rsid w:val="00E00D23"/>
    <w:rsid w:val="00E64356"/>
    <w:rsid w:val="00E85BD6"/>
    <w:rsid w:val="00E978FF"/>
    <w:rsid w:val="00EB101A"/>
    <w:rsid w:val="00EC62CF"/>
    <w:rsid w:val="00EC7F72"/>
    <w:rsid w:val="00ED1CF6"/>
    <w:rsid w:val="00EF5A0F"/>
    <w:rsid w:val="00EF70F6"/>
    <w:rsid w:val="00F20CCB"/>
    <w:rsid w:val="00F22F8E"/>
    <w:rsid w:val="00F41C41"/>
    <w:rsid w:val="00F65F33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D1E21-CE87-426D-9650-0414D8F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F3D"/>
  </w:style>
  <w:style w:type="paragraph" w:styleId="Rodap">
    <w:name w:val="footer"/>
    <w:basedOn w:val="Normal"/>
    <w:link w:val="RodapChar"/>
    <w:uiPriority w:val="99"/>
    <w:unhideWhenUsed/>
    <w:rsid w:val="0086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F3D"/>
  </w:style>
  <w:style w:type="paragraph" w:styleId="Textodebalo">
    <w:name w:val="Balloon Text"/>
    <w:basedOn w:val="Normal"/>
    <w:link w:val="TextodebaloChar"/>
    <w:uiPriority w:val="99"/>
    <w:semiHidden/>
    <w:unhideWhenUsed/>
    <w:rsid w:val="008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F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62D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6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scolo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6388-78B9-4774-8F55-48B1234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louriano.barros</dc:creator>
  <cp:lastModifiedBy>Eliana Yagizi</cp:lastModifiedBy>
  <cp:revision>6</cp:revision>
  <cp:lastPrinted>2012-11-27T11:53:00Z</cp:lastPrinted>
  <dcterms:created xsi:type="dcterms:W3CDTF">2021-10-05T17:23:00Z</dcterms:created>
  <dcterms:modified xsi:type="dcterms:W3CDTF">2021-10-08T14:36:00Z</dcterms:modified>
</cp:coreProperties>
</file>